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72E43" w:rsidRPr="00272E43" w:rsidTr="00272E43">
        <w:trPr>
          <w:tblCellSpacing w:w="0" w:type="dxa"/>
          <w:hidden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72E43" w:rsidRPr="00272E43">
              <w:trPr>
                <w:tblCellSpacing w:w="0" w:type="dxa"/>
                <w:hidden/>
              </w:trPr>
              <w:tc>
                <w:tcPr>
                  <w:tcW w:w="36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272E43" w:rsidRPr="00272E43" w:rsidTr="00272E43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2E43" w:rsidRPr="00F04090" w:rsidRDefault="00272E43" w:rsidP="00F04090">
                        <w:pPr>
                          <w:spacing w:before="225" w:after="225" w:line="270" w:lineRule="atLeast"/>
                          <w:rPr>
                            <w:rFonts w:ascii="Arial" w:eastAsia="Times New Roman" w:hAnsi="Arial" w:cs="Arial"/>
                            <w:color w:val="322B25"/>
                            <w:sz w:val="18"/>
                            <w:szCs w:val="18"/>
                          </w:rPr>
                        </w:pPr>
                        <w:bookmarkStart w:id="0" w:name="_GoBack"/>
                        <w:bookmarkEnd w:id="0"/>
                        <w:r w:rsidRPr="00272E43">
                          <w:rPr>
                            <w:rFonts w:ascii="Arial" w:eastAsia="Times New Roman" w:hAnsi="Arial" w:cs="Arial"/>
                            <w:strike/>
                            <w:vanish/>
                            <w:color w:val="128DFF"/>
                            <w:sz w:val="18"/>
                            <w:u w:val="single"/>
                          </w:rPr>
                          <w:t>0440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Стоматологические медицинские организации – как бюджетные учреждения, оказывающие стоматологические услуги, так и негосударственные (некоммерческие или частные) стоматологические клиники и кабинеты – обязаны соблюдать санитарные требования. Причем в последнее время приходится постоянно следить за нормативными документами в этой области.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Казалось бы, всего год назад – с 1 октября 2009 года – начали применяться Санитарно-гигиенические требования к стоматологическим медицинским организациям, утвержденные постановлением Главного государственного санитарного врача РФ от 07.07.2009 № 48 (СанПиН 2.1.3.2524-09), однако они уже утратили силу.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А 17 сентября 2010 года вступили в силу новые Санитарно-эпидемиологические требования к организациям, осуществляющим медицинскую деятельность, – СанПиН 2.1.3.2630-10, утвержденные постановлением </w:t>
                        </w:r>
                        <w:r w:rsidRPr="00272E43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Главного государственного санитарного врача РФ </w:t>
                        </w:r>
                        <w:r w:rsidRPr="00272E43"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000000"/>
                            <w:sz w:val="24"/>
                            <w:szCs w:val="24"/>
                          </w:rPr>
                          <w:t>от 08.05.2010 № 58.</w:t>
                        </w:r>
                        <w:r w:rsidRPr="00272E43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И пятая глава этого документа полностью посвящена санитарно-гигиеническим требованиям к стоматологическим медицинским организациям.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 этой статье мы начнем рассказывать о новых требованиях.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99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b/>
                            <w:color w:val="990000"/>
                            <w:sz w:val="24"/>
                            <w:szCs w:val="24"/>
                          </w:rPr>
                          <w:t xml:space="preserve">Требования к медперсоналу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Врач-стоматолог всегда должен работать в сопровождении среднего медицинского персонала, осуществляющего обработку рабочих мест, дезинфекцию, а также в случае отсутствия централизованной стерилизационной </w:t>
                        </w:r>
                        <w:proofErr w:type="spellStart"/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предстерилизационную</w:t>
                        </w:r>
                        <w:proofErr w:type="spellEnd"/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очистку и стерилизацию изделий медицинской техники и медицинского назначения.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При этом должны соблюдаться общие требования к условиям труда и личной гигиене (в том числе правила обработки рук) медицинского персонала, предусмотренные в первых двух главах новых СанПиН.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99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b/>
                            <w:color w:val="990000"/>
                            <w:sz w:val="24"/>
                            <w:szCs w:val="24"/>
                          </w:rPr>
                          <w:t xml:space="preserve">Размещение стоматологических организаций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Стоматологические медицинские организации могут размещаться как в отдельно стоящих зданиях, так и в приспособленных и встроенных (встроенно-пристроенных) в здания жилого и общественного назначения помещениях – главное, чтобы соблюдались все требования санитарных правил и нормативов. </w:t>
                        </w:r>
                        <w:proofErr w:type="gramEnd"/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При этом в жилых зданиях допускается размещать стоматологические кабинеты и стоматологические амбулаторно-поликлинические организации, в том числе имеющие в своем составе дневные стационары. Их можно размещать в цокольных этажах жилых зданий. Но в любом случае они должны иметь отдельный вход с улицы.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Высота стоматологических кабинетов должна составлять не менее 2,6 м.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Помещения, в которых расположены стоматологические медицинские организации, в обязательном порядке должны быть оборудованы системами хозяйственно-питьевого холодного и горячего водоснабжения и водоотведения (канализации).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 подвальных помещениях, имеющих естественное или искусственное освещение, можно размещать только санитарно-бытовые помещения (гардеробные, душевые, складские), вентиляционные камеры, компрессорные установки и </w:t>
                        </w:r>
                        <w:proofErr w:type="gramStart"/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стерилизационные-автоклавные</w:t>
                        </w:r>
                        <w:proofErr w:type="gramEnd"/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Если планируется осуществлять стоматологический прием детей, необходимо выделить для этого отдельные кабинеты. Использовать кабинеты взрослого приема для приема детей по графику запрещено. А вообще по возможности следует выделять для организации приема детей отдельный отсек с ожидальней и санузлом.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Беременные женщины могут получать стоматологическую помощь либо в медицинских стоматологических организациях для взрослых, либо в стоматологических кабинетах женских консультаций.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Оперативные вмешательства, для проведения которых осуществляется медицинская деятельность по анестезиологии и реаниматологии, должны проводиться только в условиях операционного блока. Кроме того, должно быть оборудовано помещение для временного пребывания пациента после операции. В операционной при необходимости обеспечивается подача медицинских газов. Работа кабинета хирургической стоматологии организуется с учетом разделения потоков «чистых» (плановых) и «гнойных» вмешательств, при этом плановые вмешательства проводятся в специально выделенные дни с предварительным проведением генеральной уборки.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 конечном </w:t>
                        </w:r>
                        <w:proofErr w:type="gramStart"/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счете</w:t>
                        </w:r>
                        <w:proofErr w:type="gramEnd"/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набор помещений определяется двумя факторами: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ind w:left="1212" w:hanging="360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1)     мощностью стоматологической медицинской организации;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ind w:left="1212" w:hanging="360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2)     видами деятельности.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 Приложении № 2 к новым СанПиН 2.1.3.2630-10 приведены состав, набор и минимальные рекомендуемые площади помещений стоматологических медицинских организаций. </w:t>
                        </w:r>
                        <w:proofErr w:type="gramEnd"/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 частности, в нем сказано, что </w:t>
                        </w:r>
                        <w:r w:rsidRPr="00272E43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в минимальный набор помещений для работы стоматологической медицинской организации входят: </w:t>
                        </w:r>
                      </w:p>
                      <w:p w:rsidR="00272E43" w:rsidRPr="00272E43" w:rsidRDefault="00272E43" w:rsidP="00272E43">
                        <w:pPr>
                          <w:shd w:val="clear" w:color="auto" w:fill="F2F2F2"/>
                          <w:spacing w:after="0" w:line="360" w:lineRule="auto"/>
                          <w:ind w:left="786" w:hanging="360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1)     вестибюльная группа (минимальная площадь – 10 кв</w:t>
                        </w:r>
                        <w:proofErr w:type="gramStart"/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.м</w:t>
                        </w:r>
                        <w:proofErr w:type="gramEnd"/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); </w:t>
                        </w:r>
                      </w:p>
                      <w:p w:rsidR="00272E43" w:rsidRPr="00272E43" w:rsidRDefault="00272E43" w:rsidP="00272E43">
                        <w:pPr>
                          <w:shd w:val="clear" w:color="auto" w:fill="F2F2F2"/>
                          <w:spacing w:after="0" w:line="360" w:lineRule="auto"/>
                          <w:ind w:left="786" w:hanging="360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2)     кабинет врача-стоматолога – минимальная площадь должна составлять 14 кв</w:t>
                        </w:r>
                        <w:proofErr w:type="gramStart"/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.м</w:t>
                        </w:r>
                        <w:proofErr w:type="gramEnd"/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с увеличением на 10 кв.м на каждую дополнительную стоматологическую установку или на 7 кв.м на каждое дополнительное стоматологическое кресло без установки (бормашины); </w:t>
                        </w:r>
                      </w:p>
                      <w:p w:rsidR="00272E43" w:rsidRPr="00272E43" w:rsidRDefault="00272E43" w:rsidP="00272E43">
                        <w:pPr>
                          <w:shd w:val="clear" w:color="auto" w:fill="F2F2F2"/>
                          <w:spacing w:after="0" w:line="360" w:lineRule="auto"/>
                          <w:ind w:left="786" w:hanging="360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3)     комната персонала (минимально 6 кв</w:t>
                        </w:r>
                        <w:proofErr w:type="gramStart"/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.м</w:t>
                        </w:r>
                        <w:proofErr w:type="gramEnd"/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, с гардеробом); </w:t>
                        </w:r>
                      </w:p>
                      <w:p w:rsidR="00272E43" w:rsidRPr="00272E43" w:rsidRDefault="00272E43" w:rsidP="00272E43">
                        <w:pPr>
                          <w:shd w:val="clear" w:color="auto" w:fill="F2F2F2"/>
                          <w:spacing w:after="0" w:line="360" w:lineRule="auto"/>
                          <w:ind w:left="786" w:hanging="360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4)     туалет (площадью не менее 3 кв</w:t>
                        </w:r>
                        <w:proofErr w:type="gramStart"/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.м</w:t>
                        </w:r>
                        <w:proofErr w:type="gramEnd"/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); </w:t>
                        </w:r>
                      </w:p>
                      <w:p w:rsidR="00272E43" w:rsidRPr="00272E43" w:rsidRDefault="00272E43" w:rsidP="00272E43">
                        <w:pPr>
                          <w:shd w:val="clear" w:color="auto" w:fill="F2F2F2"/>
                          <w:spacing w:after="0" w:line="360" w:lineRule="auto"/>
                          <w:ind w:left="786" w:hanging="360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5)     кладовая (не менее 3 кв.м).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Однако этот минимальный набор актуален лишь для маленьких стоматологических </w:t>
                        </w: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организаций. </w:t>
                        </w:r>
                        <w:proofErr w:type="gramStart"/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частности, согласно пункту 4.3 пятой главы новых СанПиН, отсутствие стерилизационной в стоматологической медицинской организации допускается при наличии не более трех кресел – в этом случае установка стерилизационного оборудования возможна непосредственно в кабинетах.</w:t>
                        </w:r>
                        <w:proofErr w:type="gramEnd"/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Да и наличие только одного туалета для пациентов и персонала допускается исключительно в случаях, когда количество стоматологических кресел не превышает трех.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Если же речь идет о более значительной стоматологической организации, нужно также предусмотреть: </w:t>
                        </w:r>
                      </w:p>
                      <w:p w:rsidR="00272E43" w:rsidRPr="00272E43" w:rsidRDefault="00272E43" w:rsidP="00272E43">
                        <w:pPr>
                          <w:shd w:val="clear" w:color="auto" w:fill="F2F2F2"/>
                          <w:spacing w:after="0" w:line="360" w:lineRule="auto"/>
                          <w:ind w:left="502" w:hanging="360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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стерилизационную; </w:t>
                        </w:r>
                      </w:p>
                      <w:p w:rsidR="00272E43" w:rsidRPr="00272E43" w:rsidRDefault="00272E43" w:rsidP="00272E43">
                        <w:pPr>
                          <w:shd w:val="clear" w:color="auto" w:fill="F2F2F2"/>
                          <w:spacing w:after="0" w:line="360" w:lineRule="auto"/>
                          <w:ind w:left="502" w:hanging="360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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несколько кабинетов врачей: стоматологов-терапевтов, хирургов, ортопедов, </w:t>
                        </w:r>
                        <w:proofErr w:type="spellStart"/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ортодонтов</w:t>
                        </w:r>
                        <w:proofErr w:type="spellEnd"/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, детских стоматологов; </w:t>
                        </w:r>
                      </w:p>
                      <w:p w:rsidR="00272E43" w:rsidRPr="00272E43" w:rsidRDefault="00272E43" w:rsidP="00272E43">
                        <w:pPr>
                          <w:shd w:val="clear" w:color="auto" w:fill="F2F2F2"/>
                          <w:spacing w:after="0" w:line="360" w:lineRule="auto"/>
                          <w:ind w:left="502" w:hanging="360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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операционный блок, включающий предоперационную, операционную и комнату временного пребывания пациента после операции; </w:t>
                        </w:r>
                      </w:p>
                      <w:p w:rsidR="00272E43" w:rsidRPr="00272E43" w:rsidRDefault="00272E43" w:rsidP="00272E43">
                        <w:pPr>
                          <w:shd w:val="clear" w:color="auto" w:fill="F2F2F2"/>
                          <w:spacing w:after="0" w:line="360" w:lineRule="auto"/>
                          <w:ind w:left="502" w:hanging="360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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рентгеновский кабинет; </w:t>
                        </w:r>
                      </w:p>
                      <w:p w:rsidR="00272E43" w:rsidRPr="00272E43" w:rsidRDefault="00272E43" w:rsidP="00272E43">
                        <w:pPr>
                          <w:shd w:val="clear" w:color="auto" w:fill="F2F2F2"/>
                          <w:spacing w:after="0" w:line="360" w:lineRule="auto"/>
                          <w:ind w:left="502" w:hanging="360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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зуботехническую лабораторию и специализированные помещения (</w:t>
                        </w:r>
                        <w:proofErr w:type="spellStart"/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полимеризационную</w:t>
                        </w:r>
                        <w:proofErr w:type="spellEnd"/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гипсовочную</w:t>
                        </w:r>
                        <w:proofErr w:type="spellEnd"/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, полировочную, паяльную, литейную); </w:t>
                        </w:r>
                      </w:p>
                      <w:p w:rsidR="00272E43" w:rsidRPr="00272E43" w:rsidRDefault="00272E43" w:rsidP="00272E43">
                        <w:pPr>
                          <w:shd w:val="clear" w:color="auto" w:fill="F2F2F2"/>
                          <w:spacing w:after="0" w:line="360" w:lineRule="auto"/>
                          <w:ind w:left="502" w:hanging="360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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физиотерапевтическое отделение (кабинеты </w:t>
                        </w:r>
                        <w:proofErr w:type="spellStart"/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электросветолечения</w:t>
                        </w:r>
                        <w:proofErr w:type="spellEnd"/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и лазеротерапии, гидротерапии, физиотерапии, а также УВЧ, СВЧ и ультрафиолетового облучения); </w:t>
                        </w:r>
                      </w:p>
                      <w:p w:rsidR="00272E43" w:rsidRPr="00272E43" w:rsidRDefault="00272E43" w:rsidP="00272E43">
                        <w:pPr>
                          <w:shd w:val="clear" w:color="auto" w:fill="F2F2F2"/>
                          <w:spacing w:after="0" w:line="360" w:lineRule="auto"/>
                          <w:ind w:left="502" w:hanging="360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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дополнительные административные, подсобные и вспомогательные помещения (помимо комнаты персонала, туалета и кладовой): кабинеты заведующего (администратора) и старшей медсестры, помещение для хранения медикаментов и наркотических материалов, помещения для хранения изделий медицинского назначения и т.д.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322B25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b/>
                            <w:color w:val="990000"/>
                            <w:sz w:val="24"/>
                            <w:szCs w:val="24"/>
                          </w:rPr>
                          <w:t>Внутренняя отделка помещений</w:t>
                        </w:r>
                        <w:r w:rsidRPr="00272E43">
                          <w:rPr>
                            <w:rFonts w:ascii="Times New Roman" w:eastAsia="Times New Roman" w:hAnsi="Times New Roman" w:cs="Times New Roman"/>
                            <w:b/>
                            <w:color w:val="322B25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Отдельно в СанПиН оговорены требования к внутренней отделке помещений. В частности, стены операционной, кабинетов хирургической стоматологии и стерилизационной должны быть отделаны на всю высоту глазурованной плиткой или другими разрешенными для этих целей материалами. </w:t>
                        </w:r>
                        <w:proofErr w:type="gramStart"/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А потолки стоматологических кабинетов, операционных, предоперационных, стерилизационных и помещений зуботехнических лабораторий надо окрашивать водоэмульсионными или другими красками, либо возможно использование подвесных потолков, если это не влияет на нормативную высоту помещения, но тогда он и должны быть выполнены из плит (панелей), имеющих гладкую неперфорированную поверхность, устойчивую к действию моющих веществ и </w:t>
                        </w:r>
                        <w:proofErr w:type="spellStart"/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дезинфектантов</w:t>
                        </w:r>
                        <w:proofErr w:type="spellEnd"/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. </w:t>
                        </w:r>
                        <w:proofErr w:type="gramEnd"/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Цвет поверхностей стен и пола в помещениях стоматологических кабинетов и зуботехнических лабораторий должен быть нейтральных светлых тонов, не мешающих правильному цветоразличению оттенков окраски слизистых оболочек, кожных покровов, крови, зубов (естественных и искусственных), пломбировочных и зубопротезных </w:t>
                        </w: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материалов.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Особое внимание следует уделить отделке стоматологических кабинетов, в которых применяется ртутная амальгама: </w:t>
                        </w:r>
                      </w:p>
                      <w:p w:rsidR="00272E43" w:rsidRPr="00272E43" w:rsidRDefault="00272E43" w:rsidP="00272E43">
                        <w:pPr>
                          <w:shd w:val="clear" w:color="auto" w:fill="F2F2F2"/>
                          <w:spacing w:after="0" w:line="360" w:lineRule="auto"/>
                          <w:ind w:left="502" w:hanging="360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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стены и потолки должны быть гладкими, без щелей и украшений; оштукатуренными (кирпичные) или затертыми (панельные) с добавлением 5% порошка серы для связывания паров ртути в прочное соединение (сернистую ртуть) и окрашенными разрешенными для стоматологических кабинетов красками; </w:t>
                        </w:r>
                      </w:p>
                      <w:p w:rsidR="00272E43" w:rsidRPr="00272E43" w:rsidRDefault="00272E43" w:rsidP="00272E43">
                        <w:pPr>
                          <w:shd w:val="clear" w:color="auto" w:fill="F2F2F2"/>
                          <w:spacing w:after="0" w:line="360" w:lineRule="auto"/>
                          <w:ind w:left="502" w:hanging="360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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полы должны настилаться рулонным материалом, все швы свариваются, плинтус должен плотно прилегать к стенам и полу; </w:t>
                        </w:r>
                      </w:p>
                      <w:p w:rsidR="00272E43" w:rsidRPr="00272E43" w:rsidRDefault="00272E43" w:rsidP="00272E43">
                        <w:pPr>
                          <w:shd w:val="clear" w:color="auto" w:fill="F2F2F2"/>
                          <w:spacing w:after="0" w:line="360" w:lineRule="auto"/>
                          <w:ind w:left="502" w:hanging="360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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столики для работы с амальгамой должны быть покрыты </w:t>
                        </w:r>
                        <w:proofErr w:type="spellStart"/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ртутьнепроницаемым</w:t>
                        </w:r>
                        <w:proofErr w:type="spellEnd"/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материалом и иметь бортики по краям, под рабочей поверхностью столиков не должно быть открытых ящиков; разрешается использовать только амальгаму, выпускаемую в герметически закрытых капсулах.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99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b/>
                            <w:color w:val="990000"/>
                            <w:sz w:val="24"/>
                            <w:szCs w:val="24"/>
                          </w:rPr>
                          <w:t xml:space="preserve">Требования к оборудованию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Стоматологические кресла в кабинетах с односторонним естественным освещением нужно устанавливать в один ряд вдоль </w:t>
                        </w:r>
                        <w:proofErr w:type="spellStart"/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светонесущей</w:t>
                        </w:r>
                        <w:proofErr w:type="spellEnd"/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стены.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 случае если в одном кабинете размещают несколько стоматологических кресел, их необходимо разделить непрозрачными перегородками высотой не ниже полутора метров.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Устанавливать стерилизационное оборудование непосредственно в кабинете можно только в том случае, если в стоматологической организации в общей сложности не больше трех кресел. В противном случае должна иметься стерилизационная.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Стоматологические кабинеты должны быть оборудованы раздельными или двухсекционными раковинами для мытья рук и обработки инструментов. Однако при наличии стерилизационной и организации в ней централизованной предстерилизационной обработки инструментария в кабинетах допускается наличие одной раковины. В операционном блоке раковины устанавливаются </w:t>
                        </w:r>
                        <w:proofErr w:type="gramStart"/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предоперационной. В хирургических кабинетах, стерилизационных, </w:t>
                        </w:r>
                        <w:proofErr w:type="spellStart"/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предоперационых</w:t>
                        </w:r>
                        <w:proofErr w:type="spellEnd"/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устанавливаются локтевые или сенсорные смесители.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Помещения зуботехнических лабораторий и стоматологических кабинетов, в которых проводятся работы с гипсом, должны иметь оборудование для осаждения гипса из сточных вод перед спуском в канализацию (</w:t>
                        </w:r>
                        <w:proofErr w:type="spellStart"/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гипсоуловители</w:t>
                        </w:r>
                        <w:proofErr w:type="spellEnd"/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или др.).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Все кабинеты в обязательном порядке должны быть оборудованы бактерицидными облучателями или другими устройствами обеззараживания воздуха, разрешенными для этой цели в установленном порядке. При использовании облучателей открытого типа выключатели должны быть выведены за пределы рабочих помещений.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99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990000"/>
                            <w:sz w:val="24"/>
                            <w:szCs w:val="24"/>
                          </w:rPr>
                          <w:t xml:space="preserve">Бюджетная классификация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snapToGrid w:val="0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 соответствии с Указаниями </w:t>
                        </w:r>
                        <w:r w:rsidRPr="00272E43">
                          <w:rPr>
                            <w:rFonts w:ascii="Times New Roman" w:eastAsia="Times New Roman" w:hAnsi="Times New Roman" w:cs="Times New Roman"/>
                            <w:iCs/>
                            <w:snapToGrid w:val="0"/>
                            <w:color w:val="000000"/>
                            <w:sz w:val="24"/>
                            <w:szCs w:val="24"/>
                          </w:rPr>
                          <w:t xml:space="preserve">о порядке применения бюджетной классификации РФ, утвержденными приказом Минфина России </w:t>
                        </w:r>
                        <w:r w:rsidRPr="00272E43"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snapToGrid w:val="0"/>
                            <w:color w:val="000000"/>
                            <w:sz w:val="24"/>
                            <w:szCs w:val="24"/>
                          </w:rPr>
                          <w:t xml:space="preserve">от 30.12.2009 № 150н </w:t>
                        </w:r>
                        <w:r w:rsidRPr="00272E43">
                          <w:rPr>
                            <w:rFonts w:ascii="Times New Roman" w:eastAsia="Times New Roman" w:hAnsi="Times New Roman" w:cs="Times New Roman"/>
                            <w:iCs/>
                            <w:snapToGrid w:val="0"/>
                            <w:color w:val="000000"/>
                            <w:sz w:val="24"/>
                            <w:szCs w:val="24"/>
                          </w:rPr>
                          <w:t xml:space="preserve">(далее – Указания № </w:t>
                        </w:r>
                        <w:r w:rsidRPr="00272E43">
                          <w:rPr>
                            <w:rFonts w:ascii="Times New Roman" w:eastAsia="Times New Roman" w:hAnsi="Times New Roman" w:cs="Times New Roman"/>
                            <w:iCs/>
                            <w:snapToGrid w:val="0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150н) и </w:t>
                        </w: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Методическими рекомендациями </w:t>
                        </w:r>
                        <w:r w:rsidRPr="00272E43">
                          <w:rPr>
                            <w:rFonts w:ascii="Times New Roman" w:eastAsia="Times New Roman" w:hAnsi="Times New Roman" w:cs="Times New Roman"/>
                            <w:iCs/>
                            <w:snapToGrid w:val="0"/>
                            <w:color w:val="000000"/>
                            <w:sz w:val="24"/>
                            <w:szCs w:val="24"/>
                          </w:rPr>
                          <w:t xml:space="preserve">по применению КОСГУ, направленными письмом </w:t>
                        </w: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Минфина России</w:t>
                        </w:r>
                        <w:r w:rsidRPr="00272E43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от 05.02.2010 № 02-05-10/383</w:t>
                        </w: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272E43">
                          <w:rPr>
                            <w:rFonts w:ascii="Times New Roman" w:eastAsia="Times New Roman" w:hAnsi="Times New Roman" w:cs="Times New Roman"/>
                            <w:iCs/>
                            <w:snapToGrid w:val="0"/>
                            <w:color w:val="000000"/>
                            <w:sz w:val="24"/>
                            <w:szCs w:val="24"/>
                          </w:rPr>
                          <w:t xml:space="preserve">(далее – Письмо № 02-05-10/383):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ind w:left="1485" w:hanging="360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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приобретение оборудования для стоматологических кабинетов отражают по статье 310 «Увеличение стоимости основных средств» КОСГУ;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ind w:left="1485" w:hanging="360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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расходы на покупку умывальников, смесителей и прочих строительных материалов нужно отражать по статье 340 «Увеличение стоимости материальных запасов» КОСГУ.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Если услуги по монтажу оборудования не включены в стоимость данного оборудования и учреждение привлекает для этих целей сторонних специалистов – например, заключает договор с другой организацией на оказание услуг по установке стоматологических кресел, стерилизационного оборудования и т.д., – расходы на оплату таких услуг надо проводить по подстатье 226 «Прочие работы, услуги» КОСГУ. </w:t>
                        </w:r>
                        <w:proofErr w:type="gramEnd"/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 случае если учреждению необходимо заменить имеющиеся раковины и смесители и для этих целей оно заключает договор со сторонней организацией, расходы на оплату таких услуг по ремонту нужно относить на подстатью 225 «Работы, услуги по содержанию имущества». Ведь, как разъясняется в Письме № 02-05-10/383, замена элементов систем водоснабжения, канализации и ассенизации (в том числе смесителей, раковин, унитазов), не являющихся отдельными инвентарными объектами, относится к работам по ремонту.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99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b/>
                            <w:color w:val="990000"/>
                            <w:sz w:val="24"/>
                            <w:szCs w:val="24"/>
                          </w:rPr>
                          <w:t xml:space="preserve">Микроклимат, отопление, вентиляция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Системы отопления, вентиляции и кондиционирования воздуха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среды, в том числе по микробиологическим показателям. Причем система вентиляции производственных помещений медицинских организаций, размещенных в жилых зданиях, должна быть отдельной от жилого дома в соответствии с санитарно-эпидемиологическими требованиями к жилым зданиям и помещениям.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На постоянных рабочих местах, где медицинский персонал находится свыше 50% рабочего времени или более 2 часов непрерывной работы, должны обеспечиваться следующие параметры микроклимата: </w:t>
                        </w:r>
                      </w:p>
                      <w:p w:rsidR="00272E43" w:rsidRPr="00272E43" w:rsidRDefault="00272E43" w:rsidP="00272E43">
                        <w:pPr>
                          <w:shd w:val="clear" w:color="auto" w:fill="F2F2F2"/>
                          <w:spacing w:after="0" w:line="360" w:lineRule="auto"/>
                          <w:ind w:left="502" w:hanging="360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1)     относительная влажность – от 40 до 60%; </w:t>
                        </w:r>
                      </w:p>
                      <w:p w:rsidR="00272E43" w:rsidRPr="00272E43" w:rsidRDefault="00272E43" w:rsidP="00272E43">
                        <w:pPr>
                          <w:shd w:val="clear" w:color="auto" w:fill="F2F2F2"/>
                          <w:spacing w:after="0" w:line="360" w:lineRule="auto"/>
                          <w:ind w:left="502" w:hanging="360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2)     скорость движения воздуха – 0,2 м/</w:t>
                        </w:r>
                        <w:proofErr w:type="gramStart"/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с</w:t>
                        </w:r>
                        <w:proofErr w:type="gramEnd"/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; </w:t>
                        </w:r>
                      </w:p>
                      <w:p w:rsidR="00272E43" w:rsidRPr="00272E43" w:rsidRDefault="00272E43" w:rsidP="00272E43">
                        <w:pPr>
                          <w:shd w:val="clear" w:color="auto" w:fill="F2F2F2"/>
                          <w:spacing w:after="0" w:line="360" w:lineRule="auto"/>
                          <w:ind w:left="502" w:hanging="360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3)     температура: </w:t>
                        </w:r>
                      </w:p>
                      <w:p w:rsidR="00272E43" w:rsidRPr="00272E43" w:rsidRDefault="00272E43" w:rsidP="00272E43">
                        <w:pPr>
                          <w:shd w:val="clear" w:color="auto" w:fill="F2F2F2"/>
                          <w:spacing w:after="0" w:line="360" w:lineRule="auto"/>
                          <w:ind w:left="502" w:hanging="360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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в холодный и переходный сезон (когда среднесуточная температура наружного воздуха составляет 10 градусов Цельсия и ниже) – от 18 до 23 градусов Цельсия; </w:t>
                        </w:r>
                      </w:p>
                      <w:p w:rsidR="00272E43" w:rsidRPr="00272E43" w:rsidRDefault="00272E43" w:rsidP="00272E43">
                        <w:pPr>
                          <w:shd w:val="clear" w:color="auto" w:fill="F2F2F2"/>
                          <w:spacing w:after="0" w:line="360" w:lineRule="auto"/>
                          <w:ind w:left="502" w:hanging="360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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в теплый сезон (если температура наружного воздуха превышает 10 градусов Цельсия) – от 21 до 25 градусов Цельсия.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Особое внимание следует обратить на то, что проектирование и эксплуатация </w:t>
                        </w: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вентиляционных систем должны исключать перетекание воздушных масс из «грязных» зон в «чистые».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Для обеспечения нормативных параметров микроклимата в производственных помещениях допускается устройство кондиционирования воздуха, в том числе с применением сплит-систем, предназначенных для использования в лечебно-профилактических учреждениях. Замену фильтров тонкой очистки необходимо проводить не менее 1 раза в 6 месяцев, если иное не предусмотрено производителем.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стоматологических медицинских организациях общей площадью не более 500 кв. м в помещениях класса чистоты</w:t>
                        </w:r>
                        <w:proofErr w:type="gramStart"/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Б</w:t>
                        </w:r>
                        <w:proofErr w:type="gramEnd"/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 В (кроме операционных, </w:t>
                        </w:r>
                        <w:proofErr w:type="spellStart"/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рентгенкабинетов</w:t>
                        </w:r>
                        <w:proofErr w:type="spellEnd"/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кабинетов компьютерной и магнитно-резонансной томографии), допускается неорганизованный воздухообмен за счет проветривания помещений через открывающиеся фрамуги или естественная вытяжная вентиляция.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 другой стороны, для некоторых помещений </w:t>
                        </w:r>
                        <w:r w:rsidRPr="00272E43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должны предусматриваться автономные системы вентиляции. Это актуально </w:t>
                        </w:r>
                        <w:proofErr w:type="gramStart"/>
                        <w:r w:rsidRPr="00272E43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  <w:r w:rsidRPr="00272E43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: </w:t>
                        </w:r>
                      </w:p>
                      <w:p w:rsidR="00272E43" w:rsidRPr="00272E43" w:rsidRDefault="00272E43" w:rsidP="00272E43">
                        <w:pPr>
                          <w:shd w:val="clear" w:color="auto" w:fill="F2F2F2"/>
                          <w:spacing w:after="0" w:line="360" w:lineRule="auto"/>
                          <w:ind w:left="1428" w:hanging="360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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операционных с </w:t>
                        </w:r>
                        <w:proofErr w:type="gramStart"/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предоперационными</w:t>
                        </w:r>
                        <w:proofErr w:type="gramEnd"/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; </w:t>
                        </w:r>
                      </w:p>
                      <w:p w:rsidR="00272E43" w:rsidRPr="00272E43" w:rsidRDefault="00272E43" w:rsidP="00272E43">
                        <w:pPr>
                          <w:shd w:val="clear" w:color="auto" w:fill="F2F2F2"/>
                          <w:spacing w:after="0" w:line="360" w:lineRule="auto"/>
                          <w:ind w:left="1428" w:hanging="360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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стерилизационных; </w:t>
                        </w:r>
                      </w:p>
                      <w:p w:rsidR="00272E43" w:rsidRPr="00272E43" w:rsidRDefault="00272E43" w:rsidP="00272E43">
                        <w:pPr>
                          <w:shd w:val="clear" w:color="auto" w:fill="F2F2F2"/>
                          <w:spacing w:after="0" w:line="360" w:lineRule="auto"/>
                          <w:ind w:left="1428" w:hanging="360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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  <w:proofErr w:type="spellStart"/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рентгенкабинетов</w:t>
                        </w:r>
                        <w:proofErr w:type="spellEnd"/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(отдельных); </w:t>
                        </w:r>
                      </w:p>
                      <w:p w:rsidR="00272E43" w:rsidRPr="00272E43" w:rsidRDefault="00272E43" w:rsidP="00272E43">
                        <w:pPr>
                          <w:shd w:val="clear" w:color="auto" w:fill="F2F2F2"/>
                          <w:spacing w:after="0" w:line="360" w:lineRule="auto"/>
                          <w:ind w:left="1428" w:hanging="360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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производственных помещений зуботехнических лабораторий; </w:t>
                        </w:r>
                      </w:p>
                      <w:p w:rsidR="00272E43" w:rsidRPr="00272E43" w:rsidRDefault="00272E43" w:rsidP="00272E43">
                        <w:pPr>
                          <w:shd w:val="clear" w:color="auto" w:fill="F2F2F2"/>
                          <w:spacing w:after="0" w:line="360" w:lineRule="auto"/>
                          <w:ind w:left="1428" w:hanging="360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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санузлов.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 стоматологических кабинетах, не имеющих автономных вентиляционных каналов, допускается удаление отработанного воздуха от </w:t>
                        </w:r>
                        <w:proofErr w:type="spellStart"/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общеобменных</w:t>
                        </w:r>
                        <w:proofErr w:type="spellEnd"/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систем вытяжной вентиляции на наружную стену здания через устройства, обеспечивающие очистку воздуха от вредных химических веществ и запахов (</w:t>
                        </w:r>
                        <w:proofErr w:type="spellStart"/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фотокаталитические</w:t>
                        </w:r>
                        <w:proofErr w:type="spellEnd"/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фильтры или другие устройства).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 помещениях, к которым предъявляются требования асептических условий, предусматривается скрытая прокладка воздуховодов, трубопроводов, арматуры.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Вне зависимости от наличия систем принудительной вентиляции во всех кабинетах и помещениях, за исключением операционных, должно быть предусмотрено наличие легко открывающихся фрамуг.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Поверхность нагревательных приборов должна быть гладкой, допускающей легкую очистку и исключающей скопление микроорганизмов и пыли. При этом в операционных, предоперационных, наркозных, послеоперационных следует применять нагревательные приборы с гладкой поверхностью, устойчивой к ежедневному воздействию моющих и дезинфицирующих средств.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Обслуживание систем вентиляции и кондиционирования воздуха и профилактический </w:t>
                        </w: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ремонт проводятся ответственным лицом или по договору со специализированной организацией. Это прямо предусмотрено в п. 5.21 главы </w:t>
                        </w: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V</w:t>
                        </w: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новых</w:t>
                        </w:r>
                        <w:proofErr w:type="gramEnd"/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СанПиН. Безусловно, устранение возникающих неисправностей и дефектов в системе вентиляции должно проводиться безотлагательно.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99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990000"/>
                            <w:sz w:val="24"/>
                            <w:szCs w:val="24"/>
                          </w:rPr>
                          <w:t xml:space="preserve">Бюджетная классификация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snapToGrid w:val="0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Прежде </w:t>
                        </w:r>
                        <w:proofErr w:type="gramStart"/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всего</w:t>
                        </w:r>
                        <w:proofErr w:type="gramEnd"/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обратим внимание на то, что, как уточняется в </w:t>
                        </w:r>
                        <w:r w:rsidRPr="00272E43">
                          <w:rPr>
                            <w:rFonts w:ascii="Times New Roman" w:eastAsia="Times New Roman" w:hAnsi="Times New Roman" w:cs="Times New Roman"/>
                            <w:iCs/>
                            <w:snapToGrid w:val="0"/>
                            <w:color w:val="000000"/>
                            <w:sz w:val="24"/>
                            <w:szCs w:val="24"/>
                          </w:rPr>
                          <w:t xml:space="preserve">Письме № 02-05-10/383, в случае если учреждение заключает государственный (муниципальный) контракт, предметом которого является модернизация единых функциональных систем, не являющихся одним инвентарным объектом основных средств, расходы нужно отражать следующим образом: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ind w:left="644" w:hanging="360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72E43">
                          <w:rPr>
                            <w:rFonts w:ascii="Symbol" w:eastAsia="Symbol" w:hAnsi="Symbol" w:cs="Symbol"/>
                            <w:iCs/>
                            <w:snapToGrid w:val="0"/>
                            <w:color w:val="000000"/>
                            <w:sz w:val="20"/>
                            <w:szCs w:val="20"/>
                          </w:rPr>
                          <w:t></w:t>
                        </w:r>
                        <w:r w:rsidRPr="00272E43">
                          <w:rPr>
                            <w:rFonts w:ascii="Symbol" w:eastAsia="Symbol" w:hAnsi="Symbol" w:cs="Symbol"/>
                            <w:iCs/>
                            <w:snapToGrid w:val="0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iCs/>
                            <w:snapToGrid w:val="0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iCs/>
                            <w:snapToGrid w:val="0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iCs/>
                            <w:snapToGrid w:val="0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iCs/>
                            <w:snapToGrid w:val="0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iCs/>
                            <w:snapToGrid w:val="0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iCs/>
                            <w:snapToGrid w:val="0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iCs/>
                            <w:snapToGrid w:val="0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iCs/>
                            <w:snapToGrid w:val="0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в части оплаты поставки основных средств, необходимых для проведения модернизации, – по статье 310 «Увеличение стоимости основных средств» КОСГУ;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ind w:left="644" w:hanging="360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72E43">
                          <w:rPr>
                            <w:rFonts w:ascii="Symbol" w:eastAsia="Symbol" w:hAnsi="Symbol" w:cs="Symbol"/>
                            <w:iCs/>
                            <w:snapToGrid w:val="0"/>
                            <w:color w:val="000000"/>
                            <w:sz w:val="20"/>
                            <w:szCs w:val="20"/>
                          </w:rPr>
                          <w:t></w:t>
                        </w:r>
                        <w:r w:rsidRPr="00272E43">
                          <w:rPr>
                            <w:rFonts w:ascii="Symbol" w:eastAsia="Symbol" w:hAnsi="Symbol" w:cs="Symbol"/>
                            <w:iCs/>
                            <w:snapToGrid w:val="0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iCs/>
                            <w:snapToGrid w:val="0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iCs/>
                            <w:snapToGrid w:val="0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iCs/>
                            <w:snapToGrid w:val="0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iCs/>
                            <w:snapToGrid w:val="0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iCs/>
                            <w:snapToGrid w:val="0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iCs/>
                            <w:snapToGrid w:val="0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iCs/>
                            <w:snapToGrid w:val="0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iCs/>
                            <w:snapToGrid w:val="0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в части услуг по разработке документации, а также работ по проведению монтажа, инсталляции оборудования, его сопряжения – по подстатье 226 «Прочие работы, услуги» КОСГУ.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 случае если обслуживанием систем вентиляции и кондиционирования воздуха, а также их профилактическим ремонтом занимается работник учреждения, операции, связанные с расчетами с этим работником, отражаются </w:t>
                        </w:r>
                        <w:r w:rsidRPr="00272E43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в общем порядке: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ind w:left="644" w:hanging="360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72E43">
                          <w:rPr>
                            <w:rFonts w:ascii="Symbol" w:eastAsia="Symbol" w:hAnsi="Symbol" w:cs="Symbol"/>
                            <w:iCs/>
                            <w:snapToGrid w:val="0"/>
                            <w:color w:val="000000"/>
                            <w:sz w:val="20"/>
                            <w:szCs w:val="20"/>
                          </w:rPr>
                          <w:t></w:t>
                        </w:r>
                        <w:r w:rsidRPr="00272E43">
                          <w:rPr>
                            <w:rFonts w:ascii="Symbol" w:eastAsia="Symbol" w:hAnsi="Symbol" w:cs="Symbol"/>
                            <w:iCs/>
                            <w:snapToGrid w:val="0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iCs/>
                            <w:snapToGrid w:val="0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iCs/>
                            <w:snapToGrid w:val="0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iCs/>
                            <w:snapToGrid w:val="0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iCs/>
                            <w:snapToGrid w:val="0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iCs/>
                            <w:snapToGrid w:val="0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iCs/>
                            <w:snapToGrid w:val="0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iCs/>
                            <w:snapToGrid w:val="0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iCs/>
                            <w:snapToGrid w:val="0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заработная плата данного работника относится на подстатью 211 «Заработная плата» КОСГУ;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ind w:left="644" w:hanging="360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72E43">
                          <w:rPr>
                            <w:rFonts w:ascii="Symbol" w:eastAsia="Symbol" w:hAnsi="Symbol" w:cs="Symbol"/>
                            <w:iCs/>
                            <w:snapToGrid w:val="0"/>
                            <w:color w:val="000000"/>
                            <w:sz w:val="20"/>
                            <w:szCs w:val="20"/>
                          </w:rPr>
                          <w:t></w:t>
                        </w:r>
                        <w:r w:rsidRPr="00272E43">
                          <w:rPr>
                            <w:rFonts w:ascii="Symbol" w:eastAsia="Symbol" w:hAnsi="Symbol" w:cs="Symbol"/>
                            <w:iCs/>
                            <w:snapToGrid w:val="0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iCs/>
                            <w:snapToGrid w:val="0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iCs/>
                            <w:snapToGrid w:val="0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iCs/>
                            <w:snapToGrid w:val="0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iCs/>
                            <w:snapToGrid w:val="0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iCs/>
                            <w:snapToGrid w:val="0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iCs/>
                            <w:snapToGrid w:val="0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iCs/>
                            <w:snapToGrid w:val="0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iCs/>
                            <w:snapToGrid w:val="0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страховые взносы с его заработной платы относят на подстатью 213 «Начисления на выплаты по оплате труда» КОСГУ.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Если же эти услуги оказывает сторонняя специализированная организация по договору, заключенному учреждением с этой организацией, расходы на оплату данных услуг нужно относить на подстатью 225 «Работы, услуги по содержанию имущества».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99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b/>
                            <w:color w:val="990000"/>
                            <w:sz w:val="24"/>
                            <w:szCs w:val="24"/>
                          </w:rPr>
                          <w:t xml:space="preserve">Освещение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Все стоматологические кабинеты и помещения зуботехнических лабораторий (постоянные рабочие места) должны иметь естественное освещение.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Более того, согласно п. 6.2 главы </w:t>
                        </w: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V</w:t>
                        </w: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данных СанПиН во вновь создаваемых стоматологических медицинских организациях окна стоматологических кабинетов по возможности следует ориентировать на северные направления (С, </w:t>
                        </w:r>
                        <w:proofErr w:type="gramStart"/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</w:t>
                        </w:r>
                        <w:proofErr w:type="gramEnd"/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СЗ) во избежание значительных перепадов яркости на рабочих местах за счет попадания прямых солнечных лучей, а также перегрева помещений в летнее время, особенно в южных районах. </w:t>
                        </w:r>
                        <w:proofErr w:type="gramStart"/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 те</w:t>
                        </w:r>
                        <w:proofErr w:type="gramEnd"/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же северные направления по возможности должны быть ориентированы основные помещения и литейные зуботехнической лаборатории для предупреждения перегрева помещений в летнее время.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А в уже существующих стоматологических медицинских организациях, имеющих иную </w:t>
                        </w: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ориентацию окон, рекомендуется прибегать к использованию солнцезащитных приспособлений (козырьки, солнцезащитные пленки, жалюзи). Причем в операционных и хирургических кабинетах солнцезащитные средства типа жалюзи надо размещать между оконными рамами.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Коэффициент естественного освещения на постоянных рабочих местах во всех стоматологических кабинетах и основных помещениях зуботехнической лаборатории должен соответствовать гигиеническим требованиям, установленным действующими санитарными нормативами.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При установке стоматологических кресел в два ряда в существующих кабинетах с односторонним естественным освещением следует пользоваться искусственным светом в течение рабочей смены, а врачи должны периодически меняться своими рабочими местами.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Расположение столов зубных техников в основных помещениях зуботехнической лаборатории должно обеспечивать левостороннее естественное освещение рабочих мест.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Все помещения стоматологических медицинских организаций должны иметь общее искусственное освещение. Для общего люминесцентного освещения во всех стоматологических кабинетах и основных помещениях зуботехнической лаборатории рекомендуются лампы со спектром излучения, не искажающим цветопередачу. Светильники общего освещения должны размещаться с таким расчетом, чтобы не попадать в поле зрения работающего врача. Рекомендуемые уровни освещенности рабочих поверхностей принимаются в общем порядке – в соответствии с главой I новых СанПиН.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Кроме общего освещения все стоматологические кабинеты, основные и полировочные помещения зуботехнической лаборатории должны иметь и местное освещение в виде: </w:t>
                        </w:r>
                      </w:p>
                      <w:p w:rsidR="00272E43" w:rsidRPr="00272E43" w:rsidRDefault="00272E43" w:rsidP="00272E43">
                        <w:pPr>
                          <w:shd w:val="clear" w:color="auto" w:fill="F2F2F2"/>
                          <w:spacing w:after="0" w:line="360" w:lineRule="auto"/>
                          <w:ind w:left="502" w:hanging="360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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стоматологических светильников на стоматологических установках; </w:t>
                        </w:r>
                      </w:p>
                      <w:p w:rsidR="00272E43" w:rsidRPr="00272E43" w:rsidRDefault="00272E43" w:rsidP="00272E43">
                        <w:pPr>
                          <w:shd w:val="clear" w:color="auto" w:fill="F2F2F2"/>
                          <w:spacing w:after="0" w:line="360" w:lineRule="auto"/>
                          <w:ind w:left="502" w:hanging="360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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специальных (желательно бестеневых) рефлекторов для каждого рабочего места хирурга; </w:t>
                        </w:r>
                      </w:p>
                      <w:p w:rsidR="00272E43" w:rsidRPr="00272E43" w:rsidRDefault="00272E43" w:rsidP="00272E43">
                        <w:pPr>
                          <w:shd w:val="clear" w:color="auto" w:fill="F2F2F2"/>
                          <w:spacing w:after="0" w:line="360" w:lineRule="auto"/>
                          <w:ind w:left="502" w:hanging="360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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бестеневых рефлекторов в операционных; </w:t>
                        </w:r>
                      </w:p>
                      <w:p w:rsidR="00272E43" w:rsidRPr="00272E43" w:rsidRDefault="00272E43" w:rsidP="00272E43">
                        <w:pPr>
                          <w:shd w:val="clear" w:color="auto" w:fill="F2F2F2"/>
                          <w:spacing w:after="0" w:line="360" w:lineRule="auto"/>
                          <w:ind w:left="502" w:hanging="360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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</w:t>
                        </w:r>
                        <w:r w:rsidRPr="00272E43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  <w:r w:rsidRPr="00272E4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светильников на каждом рабочем месте зубного техника в основных и полировочных помещениях.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При этом уровень освещенности от местных источников не должен превышать уровень общего освещения более чем в 10 раз.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Все светильники местного и общего освещения должны иметь соответствующую защитную арматуру, предусматривающую их влажную очистку и предохраняющую органы зрения персонала от слепящего действия ламп.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99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990000"/>
                            <w:sz w:val="24"/>
                            <w:szCs w:val="24"/>
                          </w:rPr>
                          <w:t xml:space="preserve">Бюджетная классификация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Расходы на приобретение светильников и ламп отражают по статье 340 «Увеличение стоимости материальных запасов» КОСГУ.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Отработанные ртутьсодержащие люминесцентные лампы нужно накапливать и обезвреживать в порядке, предусмотренном </w:t>
                        </w:r>
                        <w:r w:rsidRPr="00272E43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color w:val="000000"/>
                            <w:sz w:val="24"/>
                            <w:szCs w:val="24"/>
                          </w:rPr>
                          <w:t xml:space="preserve">постановлением Правительства РФ </w:t>
                        </w:r>
                        <w:r w:rsidRPr="00272E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color w:val="000000"/>
                            <w:sz w:val="24"/>
                            <w:szCs w:val="24"/>
                          </w:rPr>
                          <w:t>от 03.09.2010 № 681.</w:t>
                        </w:r>
                        <w:r w:rsidRPr="00272E43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color w:val="000000"/>
                            <w:sz w:val="24"/>
                            <w:szCs w:val="24"/>
                          </w:rPr>
                          <w:t xml:space="preserve"> Для этого большинство организаций должно заключать договоры со специализированными организациями, имеющими лицензию </w:t>
                        </w: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на осуществление деятельности по сбору, использованию, обезвреживанию, транспортированию, размещению отходов I – IV класса опасности. Расходы на оплату услуг по обезвреживанию ртутьсодержащих ламп следует относить на подстатью 226 «Прочие работы и услуги» КОСГУ.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99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b/>
                            <w:color w:val="990000"/>
                            <w:sz w:val="24"/>
                            <w:szCs w:val="24"/>
                          </w:rPr>
                          <w:t xml:space="preserve">Радиационная безопасность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Нередко в стоматологических медицинских организациях оборудуют рентгеновский кабинет.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Основные требования к размещению и эксплуатации рентгеновских аппаратов должны соответствовать положениям действующих санитарных правил, которые определяют основные критерии радиационной защиты, требования к рентгеновскому оборудованию и персоналу, основные требования к размещению рентгеновских аппаратов и их эксплуатации. Однако в седьмой части главы </w:t>
                        </w: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V</w:t>
                        </w: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новых СанПиН детализированы требования к размещению и эксплуатации рентгеновских аппаратов в стоматологических медицинских организациях.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При проведении рентгенологических исследований должен быть обеспечен учет и регистрация доз облучения пациентов и персонала, которые должны быть отражены в радиационно-гигиеническом паспорте организации и в формах государственной ежегодной статистической отчетности. Кроме того, для проведения рентгенологических исследований должна быть оформлена лицензия на осуществление деятельности с источником ионизирующего излучения.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На этапе организации деятельности с источниками ионизирующих излучений (ИИИ) осуществляется выбор помещений, в которых будут проводиться рентгенологические исследования: либо в отдельном рентгеновском, либо в стоматологическом кабинете с установленным рентгеновским аппаратом. </w:t>
                        </w:r>
                        <w:proofErr w:type="gramEnd"/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На этом этапе также определяется количество и вид рентгеновских аппаратов, площади и набор помещений для их размещения, а также необходимые дополнительные условия (освещение, вентиляция, электроснабжение, отопление, канализация). Выбранная схема размещения рентгеновского аппарата (в отдельном рентгеновском или стоматологическом кабинете) оформляется в виде технического задания на проектирование.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Для реализации требований обеспечения радиационной безопасности при вводе аппаратов в эксплуатацию, оформлении и продлении действия лицензии администрация стоматологической медицинской организации должна обеспечить проведение комплекса мероприятий по соблюдению требований радиационной безопасности и оформлению целого ряда документов.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 правилах оборудования рентгеновских кабинетов мы расскажем в следующих номерах. </w:t>
                        </w:r>
                      </w:p>
                      <w:p w:rsidR="00272E43" w:rsidRPr="00272E43" w:rsidRDefault="00272E43" w:rsidP="00272E43">
                        <w:pPr>
                          <w:spacing w:after="0" w:line="360" w:lineRule="auto"/>
                          <w:ind w:firstLine="708"/>
                          <w:jc w:val="right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r w:rsidRPr="00272E43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  <w:t>(</w:t>
                        </w:r>
                        <w:r w:rsidRPr="00272E43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</w:rPr>
                          <w:t>Продолжение следует</w:t>
                        </w:r>
                        <w:r w:rsidRPr="00272E43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  <w:t>)</w:t>
                        </w:r>
                        <w:r w:rsidRPr="00272E43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272E43" w:rsidRPr="00272E43" w:rsidRDefault="00272E43" w:rsidP="00272E43">
                        <w:pPr>
                          <w:spacing w:after="0" w:line="225" w:lineRule="atLeast"/>
                          <w:rPr>
                            <w:rFonts w:ascii="Arial" w:eastAsia="Times New Roman" w:hAnsi="Arial" w:cs="Arial"/>
                            <w:color w:val="322B2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322B25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61925" cy="142875"/>
                              <wp:effectExtent l="19050" t="0" r="9525" b="0"/>
                              <wp:docPr id="1" name="Рисунок 1" descr="http://www.sovbuh.ru/images/bac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sovbuh.ru/images/bac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72E43">
                          <w:rPr>
                            <w:rFonts w:ascii="Arial" w:eastAsia="Times New Roman" w:hAnsi="Arial" w:cs="Arial"/>
                            <w:color w:val="322B25"/>
                            <w:sz w:val="18"/>
                            <w:szCs w:val="18"/>
                          </w:rPr>
                          <w:t xml:space="preserve">  </w:t>
                        </w:r>
                        <w:hyperlink r:id="rId6" w:history="1">
                          <w:r w:rsidRPr="00272E43">
                            <w:rPr>
                              <w:rFonts w:ascii="Arial" w:eastAsia="Times New Roman" w:hAnsi="Arial" w:cs="Arial"/>
                              <w:color w:val="128DFF"/>
                              <w:sz w:val="18"/>
                              <w:u w:val="single"/>
                            </w:rPr>
                            <w:t>вернуться назад</w:t>
                          </w:r>
                        </w:hyperlink>
                      </w:p>
                    </w:tc>
                  </w:tr>
                </w:tbl>
                <w:p w:rsidR="00272E43" w:rsidRPr="00272E43" w:rsidRDefault="00272E43" w:rsidP="00272E43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22B25"/>
                      <w:sz w:val="18"/>
                      <w:szCs w:val="18"/>
                    </w:rPr>
                  </w:pPr>
                </w:p>
              </w:tc>
            </w:tr>
          </w:tbl>
          <w:p w:rsidR="00272E43" w:rsidRPr="00272E43" w:rsidRDefault="00272E43" w:rsidP="00272E43">
            <w:pPr>
              <w:spacing w:after="0" w:line="270" w:lineRule="atLeast"/>
              <w:rPr>
                <w:rFonts w:ascii="Arial" w:eastAsia="Times New Roman" w:hAnsi="Arial" w:cs="Arial"/>
                <w:color w:val="322B2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22B25"/>
                <w:sz w:val="18"/>
                <w:szCs w:val="18"/>
              </w:rPr>
              <w:lastRenderedPageBreak/>
              <w:drawing>
                <wp:inline distT="0" distB="0" distL="0" distR="0">
                  <wp:extent cx="9525000" cy="9525"/>
                  <wp:effectExtent l="0" t="0" r="0" b="0"/>
                  <wp:docPr id="2" name="Рисунок 2" descr="http://www.sovbuh.ru/image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ovbuh.ru/image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4191" w:rsidRDefault="009C4191" w:rsidP="009C4191"/>
    <w:sectPr w:rsidR="009C4191" w:rsidSect="0017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91"/>
    <w:rsid w:val="00097E86"/>
    <w:rsid w:val="00114FAD"/>
    <w:rsid w:val="00122A01"/>
    <w:rsid w:val="001767F9"/>
    <w:rsid w:val="00272E43"/>
    <w:rsid w:val="005930B5"/>
    <w:rsid w:val="00845659"/>
    <w:rsid w:val="009C4191"/>
    <w:rsid w:val="00F0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E43"/>
    <w:rPr>
      <w:color w:val="128DFF"/>
      <w:u w:val="single"/>
    </w:rPr>
  </w:style>
  <w:style w:type="paragraph" w:styleId="a4">
    <w:name w:val="Normal (Web)"/>
    <w:basedOn w:val="a"/>
    <w:uiPriority w:val="99"/>
    <w:unhideWhenUsed/>
    <w:rsid w:val="00272E4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72E4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272E43"/>
    <w:rPr>
      <w:i/>
      <w:iCs/>
    </w:rPr>
  </w:style>
  <w:style w:type="character" w:styleId="a7">
    <w:name w:val="Strong"/>
    <w:basedOn w:val="a0"/>
    <w:uiPriority w:val="22"/>
    <w:qFormat/>
    <w:rsid w:val="00272E43"/>
    <w:rPr>
      <w:b/>
      <w:bCs/>
    </w:rPr>
  </w:style>
  <w:style w:type="character" w:customStyle="1" w:styleId="skypetbinnertext">
    <w:name w:val="skype_tb_innertext"/>
    <w:basedOn w:val="a0"/>
    <w:rsid w:val="00272E43"/>
  </w:style>
  <w:style w:type="paragraph" w:styleId="a8">
    <w:name w:val="Balloon Text"/>
    <w:basedOn w:val="a"/>
    <w:link w:val="a9"/>
    <w:uiPriority w:val="99"/>
    <w:semiHidden/>
    <w:unhideWhenUsed/>
    <w:rsid w:val="0027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E43"/>
    <w:rPr>
      <w:color w:val="128DFF"/>
      <w:u w:val="single"/>
    </w:rPr>
  </w:style>
  <w:style w:type="paragraph" w:styleId="a4">
    <w:name w:val="Normal (Web)"/>
    <w:basedOn w:val="a"/>
    <w:uiPriority w:val="99"/>
    <w:unhideWhenUsed/>
    <w:rsid w:val="00272E4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72E4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272E43"/>
    <w:rPr>
      <w:i/>
      <w:iCs/>
    </w:rPr>
  </w:style>
  <w:style w:type="character" w:styleId="a7">
    <w:name w:val="Strong"/>
    <w:basedOn w:val="a0"/>
    <w:uiPriority w:val="22"/>
    <w:qFormat/>
    <w:rsid w:val="00272E43"/>
    <w:rPr>
      <w:b/>
      <w:bCs/>
    </w:rPr>
  </w:style>
  <w:style w:type="character" w:customStyle="1" w:styleId="skypetbinnertext">
    <w:name w:val="skype_tb_innertext"/>
    <w:basedOn w:val="a0"/>
    <w:rsid w:val="00272E43"/>
  </w:style>
  <w:style w:type="paragraph" w:styleId="a8">
    <w:name w:val="Balloon Text"/>
    <w:basedOn w:val="a"/>
    <w:link w:val="a9"/>
    <w:uiPriority w:val="99"/>
    <w:semiHidden/>
    <w:unhideWhenUsed/>
    <w:rsid w:val="0027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75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0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history.back()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3326</Words>
  <Characters>18962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2010-06-30T12:13:00Z</cp:lastPrinted>
  <dcterms:created xsi:type="dcterms:W3CDTF">2014-08-08T11:29:00Z</dcterms:created>
  <dcterms:modified xsi:type="dcterms:W3CDTF">2014-08-08T11:29:00Z</dcterms:modified>
</cp:coreProperties>
</file>